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永吉县不动产登记中心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永吉县不动产登记中心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5AFF6CB">
      <w:pPr>
        <w:pStyle w:val="10"/>
        <w:widowControl/>
        <w:spacing w:line="620" w:lineRule="exact"/>
        <w:ind w:firstLine="627" w:firstLineChars="196"/>
        <w:contextualSpacing/>
        <w:rPr>
          <w:rFonts w:hint="eastAsia" w:ascii="黑体" w:hAnsi="黑体" w:eastAsia="仿宋"/>
          <w:sz w:val="44"/>
          <w:szCs w:val="44"/>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永吉县不动产登记中心</w:t>
      </w:r>
    </w:p>
    <w:p w14:paraId="2FDE9C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2F5E2D9B">
      <w:pPr>
        <w:pStyle w:val="10"/>
        <w:widowControl/>
        <w:spacing w:line="620" w:lineRule="exact"/>
        <w:ind w:firstLine="627" w:firstLineChars="196"/>
        <w:contextualSpacing/>
        <w:rPr>
          <w:rFonts w:hint="eastAsia" w:ascii="仿宋" w:hAnsi="仿宋" w:eastAsia="仿宋" w:cs="仿宋"/>
          <w:sz w:val="30"/>
          <w:szCs w:val="30"/>
        </w:rPr>
      </w:pPr>
      <w:r>
        <w:rPr>
          <w:rFonts w:hint="eastAsia" w:ascii="仿宋" w:hAnsi="仿宋" w:eastAsia="仿宋"/>
          <w:bCs/>
          <w:kern w:val="0"/>
          <w:sz w:val="32"/>
          <w:szCs w:val="32"/>
        </w:rPr>
        <w:t>主要职能</w:t>
      </w:r>
      <w:r>
        <w:rPr>
          <w:rFonts w:hint="eastAsia" w:ascii="仿宋" w:hAnsi="仿宋" w:eastAsia="仿宋" w:cs="仿宋"/>
          <w:bCs/>
          <w:kern w:val="0"/>
          <w:sz w:val="32"/>
          <w:szCs w:val="32"/>
        </w:rPr>
        <w:t>：</w:t>
      </w:r>
      <w:r>
        <w:rPr>
          <w:rFonts w:hint="eastAsia" w:ascii="仿宋" w:hAnsi="仿宋" w:eastAsia="仿宋" w:cs="仿宋"/>
          <w:sz w:val="32"/>
          <w:szCs w:val="32"/>
        </w:rPr>
        <w:t>1. 统一登记：承办辖区内土地、房屋、林地、水域、滩涂等不动产登记全流程（受理、查验、注册、缮证、发证）</w:t>
      </w:r>
      <w:r>
        <w:rPr>
          <w:rFonts w:hint="eastAsia" w:ascii="仿宋" w:hAnsi="仿宋" w:eastAsia="仿宋" w:cs="仿宋"/>
          <w:sz w:val="32"/>
          <w:szCs w:val="32"/>
        </w:rPr>
        <w:br w:type="textWrapping"/>
      </w:r>
      <w:r>
        <w:rPr>
          <w:rFonts w:hint="eastAsia" w:ascii="仿宋" w:hAnsi="仿宋" w:eastAsia="仿宋" w:cs="仿宋"/>
          <w:sz w:val="32"/>
          <w:szCs w:val="32"/>
        </w:rPr>
        <w:t>2. 权籍调查：开展不动产权籍调查、实地查看、复核</w:t>
      </w:r>
      <w:r>
        <w:rPr>
          <w:rFonts w:hint="eastAsia" w:ascii="仿宋" w:hAnsi="仿宋" w:eastAsia="仿宋" w:cs="仿宋"/>
          <w:sz w:val="32"/>
          <w:szCs w:val="32"/>
        </w:rPr>
        <w:br w:type="textWrapping"/>
      </w:r>
      <w:r>
        <w:rPr>
          <w:rFonts w:hint="eastAsia" w:ascii="仿宋" w:hAnsi="仿宋" w:eastAsia="仿宋" w:cs="仿宋"/>
          <w:sz w:val="32"/>
          <w:szCs w:val="32"/>
        </w:rPr>
        <w:t>3. 信息平台：建设与维护不动产登记数据库、信息管理平台，负责数据更新、汇交、共享</w:t>
      </w:r>
      <w:r>
        <w:rPr>
          <w:rFonts w:hint="eastAsia" w:ascii="仿宋" w:hAnsi="仿宋" w:eastAsia="仿宋" w:cs="仿宋"/>
          <w:sz w:val="32"/>
          <w:szCs w:val="32"/>
        </w:rPr>
        <w:br w:type="textWrapping"/>
      </w:r>
      <w:r>
        <w:rPr>
          <w:rFonts w:hint="eastAsia" w:ascii="仿宋" w:hAnsi="仿宋" w:eastAsia="仿宋" w:cs="仿宋"/>
          <w:sz w:val="32"/>
          <w:szCs w:val="32"/>
        </w:rPr>
        <w:t>4. 档案管理：登记资料收集、整理、归档、统计、查询服务</w:t>
      </w:r>
      <w:r>
        <w:rPr>
          <w:rFonts w:hint="eastAsia" w:ascii="仿宋" w:hAnsi="仿宋" w:eastAsia="仿宋" w:cs="仿宋"/>
          <w:sz w:val="32"/>
          <w:szCs w:val="32"/>
        </w:rPr>
        <w:br w:type="textWrapping"/>
      </w:r>
      <w:r>
        <w:rPr>
          <w:rFonts w:hint="eastAsia" w:ascii="仿宋" w:hAnsi="仿宋" w:eastAsia="仿宋" w:cs="仿宋"/>
          <w:sz w:val="32"/>
          <w:szCs w:val="32"/>
        </w:rPr>
        <w:t>5. 地籍事务：全县土地调查、动态监测、地籍咨询、土地纠纷调解</w:t>
      </w:r>
      <w:r>
        <w:rPr>
          <w:rFonts w:hint="eastAsia" w:ascii="仿宋" w:hAnsi="仿宋" w:eastAsia="仿宋" w:cs="仿宋"/>
          <w:sz w:val="32"/>
          <w:szCs w:val="32"/>
        </w:rPr>
        <w:br w:type="textWrapping"/>
      </w:r>
      <w:r>
        <w:rPr>
          <w:rFonts w:hint="eastAsia" w:ascii="仿宋" w:hAnsi="仿宋" w:eastAsia="仿宋" w:cs="仿宋"/>
          <w:sz w:val="32"/>
          <w:szCs w:val="32"/>
        </w:rPr>
        <w:t>6. 政策执行：落实不动产统一登记制度、规范与流程，完成主管</w:t>
      </w:r>
      <w:r>
        <w:rPr>
          <w:rFonts w:hint="eastAsia" w:ascii="仿宋" w:hAnsi="仿宋" w:eastAsia="仿宋" w:cs="仿宋"/>
          <w:sz w:val="30"/>
          <w:szCs w:val="30"/>
        </w:rPr>
        <w:t>部门交办任务</w:t>
      </w:r>
    </w:p>
    <w:p w14:paraId="67810E35">
      <w:pPr>
        <w:pStyle w:val="10"/>
        <w:widowControl/>
        <w:spacing w:line="620" w:lineRule="exact"/>
        <w:ind w:firstLine="627" w:firstLineChars="196"/>
        <w:contextualSpacing/>
        <w:rPr>
          <w:rFonts w:hint="eastAsia" w:ascii="仿宋" w:hAnsi="仿宋" w:eastAsia="仿宋" w:cs="仿宋"/>
          <w:sz w:val="32"/>
          <w:szCs w:val="32"/>
        </w:rPr>
      </w:pPr>
      <w:r>
        <w:rPr>
          <w:rFonts w:hint="eastAsia" w:ascii="仿宋" w:hAnsi="仿宋" w:eastAsia="仿宋"/>
          <w:bCs/>
          <w:kern w:val="0"/>
          <w:sz w:val="32"/>
          <w:szCs w:val="32"/>
        </w:rPr>
        <w:t>主要业务：</w:t>
      </w:r>
      <w:r>
        <w:rPr>
          <w:rFonts w:hint="eastAsia" w:ascii="仿宋" w:hAnsi="仿宋" w:eastAsia="仿宋" w:cs="仿宋"/>
          <w:sz w:val="32"/>
          <w:szCs w:val="32"/>
        </w:rPr>
        <w:t>1. 不动产登记类（核心业务）</w:t>
      </w:r>
      <w:r>
        <w:rPr>
          <w:rFonts w:hint="eastAsia" w:ascii="仿宋" w:hAnsi="仿宋" w:eastAsia="仿宋" w:cs="仿宋"/>
          <w:sz w:val="32"/>
          <w:szCs w:val="32"/>
        </w:rPr>
        <w:br w:type="textWrapping"/>
      </w:r>
      <w:r>
        <w:rPr>
          <w:rFonts w:hint="eastAsia" w:ascii="仿宋" w:hAnsi="仿宋" w:eastAsia="仿宋" w:cs="仿宋"/>
          <w:sz w:val="32"/>
          <w:szCs w:val="32"/>
        </w:rPr>
        <w:t>首次登记：国有/集体建设用地、房屋、宅基地、林权等首次确权</w:t>
      </w:r>
      <w:r>
        <w:rPr>
          <w:rFonts w:hint="eastAsia" w:ascii="仿宋" w:hAnsi="仿宋" w:eastAsia="仿宋" w:cs="仿宋"/>
          <w:sz w:val="32"/>
          <w:szCs w:val="32"/>
        </w:rPr>
        <w:br w:type="textWrapping"/>
      </w:r>
      <w:r>
        <w:rPr>
          <w:rFonts w:hint="eastAsia" w:ascii="仿宋" w:hAnsi="仿宋" w:eastAsia="仿宋" w:cs="仿宋"/>
          <w:sz w:val="32"/>
          <w:szCs w:val="32"/>
        </w:rPr>
        <w:t>转移登记：买卖、赠与、继承、析产、划拨转出让等权属变​</w:t>
      </w:r>
      <w:r>
        <w:rPr>
          <w:rFonts w:hint="eastAsia" w:ascii="仿宋" w:hAnsi="仿宋" w:eastAsia="仿宋" w:cs="仿宋"/>
          <w:sz w:val="32"/>
          <w:szCs w:val="32"/>
        </w:rPr>
        <w:br w:type="textWrapping"/>
      </w:r>
      <w:r>
        <w:rPr>
          <w:rFonts w:hint="eastAsia" w:ascii="仿宋" w:hAnsi="仿宋" w:eastAsia="仿宋" w:cs="仿宋"/>
          <w:sz w:val="32"/>
          <w:szCs w:val="32"/>
        </w:rPr>
        <w:t>变更登记：权利人姓名、地址、用途、面积等信息变更</w:t>
      </w:r>
      <w:r>
        <w:rPr>
          <w:rFonts w:hint="eastAsia" w:ascii="仿宋" w:hAnsi="仿宋" w:eastAsia="仿宋" w:cs="仿宋"/>
          <w:sz w:val="32"/>
          <w:szCs w:val="32"/>
        </w:rPr>
        <w:br w:type="textWrapping"/>
      </w:r>
      <w:r>
        <w:rPr>
          <w:rFonts w:hint="eastAsia" w:ascii="仿宋" w:hAnsi="仿宋" w:eastAsia="仿宋" w:cs="仿宋"/>
          <w:sz w:val="32"/>
          <w:szCs w:val="32"/>
        </w:rPr>
        <w:t>注销登记：不动产灭失、权利终止、抵押权注销等</w:t>
      </w:r>
      <w:r>
        <w:rPr>
          <w:rFonts w:hint="eastAsia" w:ascii="仿宋" w:hAnsi="仿宋" w:eastAsia="仿宋" w:cs="仿宋"/>
          <w:sz w:val="32"/>
          <w:szCs w:val="32"/>
        </w:rPr>
        <w:br w:type="textWrapping"/>
      </w:r>
      <w:r>
        <w:rPr>
          <w:rFonts w:hint="eastAsia" w:ascii="仿宋" w:hAnsi="仿宋" w:eastAsia="仿宋" w:cs="仿宋"/>
          <w:sz w:val="32"/>
          <w:szCs w:val="32"/>
        </w:rPr>
        <w:t> 抵押权登记：一般抵押、最高额抵押的设立、变更、注销</w:t>
      </w:r>
      <w:r>
        <w:rPr>
          <w:rFonts w:hint="eastAsia" w:ascii="仿宋" w:hAnsi="仿宋" w:eastAsia="仿宋" w:cs="仿宋"/>
          <w:sz w:val="32"/>
          <w:szCs w:val="32"/>
        </w:rPr>
        <w:br w:type="textWrapping"/>
      </w:r>
      <w:r>
        <w:rPr>
          <w:rFonts w:hint="eastAsia" w:ascii="仿宋" w:hAnsi="仿宋" w:eastAsia="仿宋" w:cs="仿宋"/>
          <w:sz w:val="32"/>
          <w:szCs w:val="32"/>
        </w:rPr>
        <w:t> 预告登记/更正登记/异议登记/查封登记</w:t>
      </w:r>
      <w:r>
        <w:rPr>
          <w:rFonts w:hint="eastAsia" w:ascii="仿宋" w:hAnsi="仿宋" w:eastAsia="仿宋" w:cs="仿宋"/>
          <w:sz w:val="32"/>
          <w:szCs w:val="32"/>
        </w:rPr>
        <w:br w:type="textWrapping"/>
      </w:r>
      <w:r>
        <w:rPr>
          <w:rFonts w:hint="eastAsia" w:ascii="仿宋" w:hAnsi="仿宋" w:eastAsia="仿宋" w:cs="仿宋"/>
          <w:sz w:val="32"/>
          <w:szCs w:val="32"/>
        </w:rPr>
        <w:t>2. 权籍与调查类</w:t>
      </w:r>
      <w:r>
        <w:rPr>
          <w:rFonts w:hint="eastAsia" w:ascii="仿宋" w:hAnsi="仿宋" w:eastAsia="仿宋" w:cs="仿宋"/>
          <w:sz w:val="32"/>
          <w:szCs w:val="32"/>
        </w:rPr>
        <w:br w:type="textWrapping"/>
      </w:r>
      <w:r>
        <w:rPr>
          <w:rFonts w:hint="eastAsia" w:ascii="仿宋" w:hAnsi="仿宋" w:eastAsia="仿宋" w:cs="仿宋"/>
          <w:sz w:val="32"/>
          <w:szCs w:val="32"/>
        </w:rPr>
        <w:t>不动产权籍调查、宗地图/房屋平面图制作、界址确认</w:t>
      </w:r>
      <w:r>
        <w:rPr>
          <w:rFonts w:hint="eastAsia" w:ascii="仿宋" w:hAnsi="仿宋" w:eastAsia="仿宋" w:cs="仿宋"/>
          <w:sz w:val="32"/>
          <w:szCs w:val="32"/>
        </w:rPr>
        <w:br w:type="textWrapping"/>
      </w:r>
      <w:r>
        <w:rPr>
          <w:rFonts w:hint="eastAsia" w:ascii="仿宋" w:hAnsi="仿宋" w:eastAsia="仿宋" w:cs="仿宋"/>
          <w:sz w:val="32"/>
          <w:szCs w:val="32"/>
        </w:rPr>
        <w:t>不动产实地查看、权籍数据入库与更新</w:t>
      </w:r>
      <w:r>
        <w:rPr>
          <w:rFonts w:hint="eastAsia" w:ascii="仿宋" w:hAnsi="仿宋" w:eastAsia="仿宋" w:cs="仿宋"/>
          <w:sz w:val="32"/>
          <w:szCs w:val="32"/>
        </w:rPr>
        <w:br w:type="textWrapping"/>
      </w:r>
      <w:r>
        <w:rPr>
          <w:rFonts w:hint="eastAsia" w:ascii="仿宋" w:hAnsi="仿宋" w:eastAsia="仿宋" w:cs="仿宋"/>
          <w:sz w:val="32"/>
          <w:szCs w:val="32"/>
        </w:rPr>
        <w:t>3. 信息与档案服务</w:t>
      </w:r>
      <w:r>
        <w:rPr>
          <w:rFonts w:hint="eastAsia" w:ascii="仿宋" w:hAnsi="仿宋" w:eastAsia="仿宋" w:cs="仿宋"/>
          <w:sz w:val="32"/>
          <w:szCs w:val="32"/>
        </w:rPr>
        <w:br w:type="textWrapping"/>
      </w:r>
      <w:r>
        <w:rPr>
          <w:rFonts w:hint="eastAsia" w:ascii="仿宋" w:hAnsi="仿宋" w:eastAsia="仿宋" w:cs="仿宋"/>
          <w:sz w:val="32"/>
          <w:szCs w:val="32"/>
        </w:rPr>
        <w:t>不动产登记资料查询（权利人、利害关系人、司法/行政查询）</w:t>
      </w:r>
      <w:r>
        <w:rPr>
          <w:rFonts w:hint="eastAsia" w:ascii="仿宋" w:hAnsi="仿宋" w:eastAsia="仿宋" w:cs="仿宋"/>
          <w:sz w:val="32"/>
          <w:szCs w:val="32"/>
        </w:rPr>
        <w:br w:type="textWrapping"/>
      </w:r>
      <w:r>
        <w:rPr>
          <w:rFonts w:hint="eastAsia" w:ascii="仿宋" w:hAnsi="仿宋" w:eastAsia="仿宋" w:cs="仿宋"/>
          <w:sz w:val="32"/>
          <w:szCs w:val="32"/>
        </w:rPr>
        <w:t>不动产权证书/登记证明补（换）发</w:t>
      </w:r>
    </w:p>
    <w:p w14:paraId="5757AED3">
      <w:pPr>
        <w:pStyle w:val="10"/>
        <w:widowControl/>
        <w:spacing w:line="620" w:lineRule="exact"/>
        <w:contextualSpacing/>
        <w:rPr>
          <w:rFonts w:hint="eastAsia" w:ascii="仿宋" w:hAnsi="仿宋" w:eastAsia="仿宋" w:cs="仿宋"/>
          <w:kern w:val="0"/>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登记档案管理、数据共享与汇交</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5</w:t>
      </w:r>
      <w:r>
        <w:rPr>
          <w:rFonts w:hint="eastAsia" w:ascii="仿宋" w:hAnsi="仿宋" w:eastAsia="仿宋" w:cs="仿宋"/>
          <w:sz w:val="32"/>
          <w:szCs w:val="32"/>
        </w:rPr>
        <w:t>. 地籍</w:t>
      </w:r>
      <w:r>
        <w:rPr>
          <w:rFonts w:hint="eastAsia" w:ascii="仿宋" w:hAnsi="仿宋" w:eastAsia="仿宋" w:cs="仿宋"/>
          <w:sz w:val="32"/>
          <w:szCs w:val="32"/>
          <w:lang w:eastAsia="zh-CN"/>
        </w:rPr>
        <w:t>事务</w:t>
      </w:r>
      <w:r>
        <w:rPr>
          <w:rFonts w:hint="eastAsia" w:ascii="仿宋" w:hAnsi="仿宋" w:eastAsia="仿宋" w:cs="仿宋"/>
          <w:sz w:val="32"/>
          <w:szCs w:val="32"/>
        </w:rPr>
        <w:br w:type="textWrapping"/>
      </w:r>
      <w:r>
        <w:rPr>
          <w:rFonts w:hint="eastAsia" w:ascii="仿宋" w:hAnsi="仿宋" w:eastAsia="仿宋" w:cs="仿宋"/>
          <w:sz w:val="32"/>
          <w:szCs w:val="32"/>
        </w:rPr>
        <w:t> 土地调查、土地动态监测、地籍规范化与信息化建设</w:t>
      </w:r>
      <w:r>
        <w:rPr>
          <w:rFonts w:hint="eastAsia" w:ascii="仿宋" w:hAnsi="仿宋" w:eastAsia="仿宋" w:cs="仿宋"/>
          <w:sz w:val="32"/>
          <w:szCs w:val="32"/>
        </w:rPr>
        <w:br w:type="textWrapping"/>
      </w:r>
      <w:r>
        <w:rPr>
          <w:rFonts w:hint="eastAsia" w:ascii="仿宋" w:hAnsi="仿宋" w:eastAsia="仿宋" w:cs="仿宋"/>
          <w:sz w:val="32"/>
          <w:szCs w:val="32"/>
        </w:rPr>
        <w:t>土地权属纠纷调查调解、地籍政策咨询</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3D44C22">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eastAsia="zh-CN"/>
        </w:rPr>
        <w:t>本单位未设立内设机构。</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27</w:t>
      </w:r>
      <w:r>
        <w:rPr>
          <w:rFonts w:hint="eastAsia" w:ascii="仿宋" w:hAnsi="仿宋" w:eastAsia="仿宋"/>
          <w:kern w:val="0"/>
          <w:szCs w:val="32"/>
        </w:rPr>
        <w:t>人，编制数</w:t>
      </w:r>
      <w:r>
        <w:rPr>
          <w:rFonts w:hint="eastAsia" w:ascii="仿宋" w:hAnsi="仿宋" w:eastAsia="仿宋"/>
          <w:kern w:val="0"/>
          <w:szCs w:val="32"/>
          <w:lang w:val="en-US" w:eastAsia="zh-CN"/>
        </w:rPr>
        <w:t>31</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6FD1930E">
      <w:pPr>
        <w:jc w:val="both"/>
        <w:rPr>
          <w:rFonts w:ascii="黑体" w:hAnsi="黑体" w:eastAsia="黑体"/>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2062A157">
      <w:pPr>
        <w:pStyle w:val="11"/>
        <w:ind w:firstLine="480" w:firstLineChars="150"/>
        <w:jc w:val="left"/>
        <w:rPr>
          <w:rFonts w:hint="eastAsia" w:ascii="仿宋" w:hAnsi="仿宋" w:eastAsia="仿宋"/>
          <w:sz w:val="32"/>
          <w:szCs w:val="32"/>
        </w:rPr>
      </w:pPr>
      <w:r>
        <w:rPr>
          <w:rFonts w:hint="eastAsia" w:ascii="仿宋" w:hAnsi="仿宋" w:eastAsia="仿宋" w:cs="仿宋"/>
          <w:sz w:val="32"/>
          <w:szCs w:val="32"/>
        </w:rPr>
        <w:t xml:space="preserve">按照综合预算的原则，所有收入和支出全部纳入部门预算管理。收入包括：一般公共预算拨款收入、政府性基金预算拨款收入、其他收入等；支出包括：社会保障和就业支出、自然资源海洋气象等支出、住房保障支出等。2026年收支总预算316.73万元，比2025年预算数293.31万元增加23.42万元，主要原因是人员经费中基本工资、绩效工资等薪酬标准调整，以及机关事业单位基本养老保险缴费、住房公积金等缴费基数上调。  </w:t>
      </w:r>
      <w:r>
        <w:rPr>
          <w:rFonts w:hint="eastAsia" w:ascii="仿宋" w:hAnsi="仿宋" w:eastAsia="仿宋"/>
          <w:sz w:val="32"/>
          <w:szCs w:val="32"/>
        </w:rPr>
        <w:t xml:space="preserve">  </w:t>
      </w:r>
    </w:p>
    <w:p w14:paraId="0594D500">
      <w:pPr>
        <w:pStyle w:val="11"/>
        <w:ind w:firstLine="480" w:firstLineChars="150"/>
        <w:jc w:val="left"/>
        <w:rPr>
          <w:rFonts w:ascii="楷体" w:hAnsi="楷体" w:eastAsia="楷体"/>
          <w:sz w:val="32"/>
          <w:szCs w:val="32"/>
        </w:rPr>
      </w:pP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Malgun Gothic"/>
          <w:sz w:val="32"/>
          <w:szCs w:val="32"/>
          <w:lang w:val="en-US" w:eastAsia="ko-KR"/>
        </w:rPr>
        <w:t>316.73</w:t>
      </w:r>
      <w:r>
        <w:rPr>
          <w:rFonts w:hint="eastAsia" w:ascii="仿宋" w:hAnsi="仿宋" w:eastAsia="仿宋"/>
          <w:sz w:val="32"/>
          <w:szCs w:val="32"/>
        </w:rPr>
        <w:t xml:space="preserve">万元，其中：一般公共预算收入 </w:t>
      </w:r>
      <w:r>
        <w:rPr>
          <w:rFonts w:hint="eastAsia" w:ascii="仿宋" w:hAnsi="仿宋" w:eastAsia="Malgun Gothic"/>
          <w:sz w:val="32"/>
          <w:szCs w:val="32"/>
          <w:lang w:val="en-US" w:eastAsia="ko-KR"/>
        </w:rPr>
        <w:t>316.73</w:t>
      </w:r>
      <w:r>
        <w:rPr>
          <w:rFonts w:hint="eastAsia" w:ascii="仿宋" w:hAnsi="仿宋" w:eastAsia="仿宋"/>
          <w:sz w:val="32"/>
          <w:szCs w:val="32"/>
        </w:rPr>
        <w:t>万元，占</w:t>
      </w:r>
      <w:r>
        <w:rPr>
          <w:rFonts w:hint="eastAsia" w:ascii="仿宋" w:hAnsi="仿宋" w:eastAsia="Malgun Gothic"/>
          <w:sz w:val="32"/>
          <w:szCs w:val="32"/>
          <w:lang w:val="en-US" w:eastAsia="ko-KR"/>
        </w:rPr>
        <w:t>100</w:t>
      </w:r>
      <w:r>
        <w:rPr>
          <w:rFonts w:hint="eastAsia" w:ascii="仿宋" w:hAnsi="仿宋" w:eastAsia="仿宋"/>
          <w:sz w:val="32"/>
          <w:szCs w:val="32"/>
        </w:rPr>
        <w:t xml:space="preserve">%；政府性基金收入 </w:t>
      </w:r>
      <w:r>
        <w:rPr>
          <w:rFonts w:hint="eastAsia" w:ascii="仿宋" w:hAnsi="仿宋" w:eastAsia="Malgun Gothic"/>
          <w:sz w:val="32"/>
          <w:szCs w:val="32"/>
          <w:lang w:val="en-US" w:eastAsia="ko-KR"/>
        </w:rPr>
        <w:t>0</w:t>
      </w:r>
      <w:r>
        <w:rPr>
          <w:rFonts w:hint="eastAsia" w:ascii="仿宋" w:hAnsi="仿宋" w:eastAsia="仿宋"/>
          <w:sz w:val="32"/>
          <w:szCs w:val="32"/>
        </w:rPr>
        <w:t xml:space="preserve"> 万元，占</w:t>
      </w:r>
      <w:r>
        <w:rPr>
          <w:rFonts w:hint="eastAsia" w:ascii="仿宋" w:hAnsi="仿宋" w:eastAsia="Malgun Gothic"/>
          <w:sz w:val="32"/>
          <w:szCs w:val="32"/>
          <w:lang w:val="en-US" w:eastAsia="ko-KR"/>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 xml:space="preserve">2026年支出预算 </w:t>
      </w:r>
      <w:r>
        <w:rPr>
          <w:rFonts w:hint="eastAsia" w:ascii="仿宋" w:hAnsi="仿宋" w:eastAsia="Malgun Gothic"/>
          <w:sz w:val="32"/>
          <w:szCs w:val="32"/>
          <w:lang w:val="en-US" w:eastAsia="ko-KR"/>
        </w:rPr>
        <w:t>316.73</w:t>
      </w:r>
      <w:r>
        <w:rPr>
          <w:rFonts w:hint="eastAsia" w:ascii="仿宋" w:hAnsi="仿宋" w:eastAsia="仿宋"/>
          <w:sz w:val="32"/>
          <w:szCs w:val="32"/>
        </w:rPr>
        <w:t>万元，其中：基本支出</w:t>
      </w:r>
      <w:r>
        <w:rPr>
          <w:rFonts w:hint="eastAsia" w:ascii="仿宋" w:hAnsi="仿宋" w:eastAsia="Malgun Gothic"/>
          <w:sz w:val="32"/>
          <w:szCs w:val="32"/>
          <w:lang w:val="en-US" w:eastAsia="ko-KR"/>
        </w:rPr>
        <w:t>308.6</w:t>
      </w:r>
      <w:r>
        <w:rPr>
          <w:rFonts w:hint="eastAsia" w:ascii="仿宋" w:hAnsi="仿宋" w:eastAsia="仿宋"/>
          <w:sz w:val="32"/>
          <w:szCs w:val="32"/>
        </w:rPr>
        <w:t>万元，占</w:t>
      </w:r>
      <w:r>
        <w:rPr>
          <w:rFonts w:hint="eastAsia" w:ascii="仿宋" w:hAnsi="仿宋" w:eastAsia="Malgun Gothic"/>
          <w:sz w:val="32"/>
          <w:szCs w:val="32"/>
          <w:lang w:val="en-US" w:eastAsia="ko-KR"/>
        </w:rPr>
        <w:t>97.43</w:t>
      </w:r>
      <w:r>
        <w:rPr>
          <w:rFonts w:hint="eastAsia" w:ascii="仿宋" w:hAnsi="仿宋" w:eastAsia="仿宋"/>
          <w:sz w:val="32"/>
          <w:szCs w:val="32"/>
        </w:rPr>
        <w:t xml:space="preserve">%；项目支出 </w:t>
      </w:r>
      <w:r>
        <w:rPr>
          <w:rFonts w:hint="eastAsia" w:ascii="仿宋" w:hAnsi="仿宋" w:eastAsia="Malgun Gothic"/>
          <w:sz w:val="32"/>
          <w:szCs w:val="32"/>
          <w:lang w:val="en-US" w:eastAsia="ko-KR"/>
        </w:rPr>
        <w:t>7.13</w:t>
      </w:r>
      <w:r>
        <w:rPr>
          <w:rFonts w:hint="eastAsia" w:ascii="仿宋" w:hAnsi="仿宋" w:eastAsia="仿宋"/>
          <w:sz w:val="32"/>
          <w:szCs w:val="32"/>
        </w:rPr>
        <w:t>万元，占</w:t>
      </w:r>
      <w:r>
        <w:rPr>
          <w:rFonts w:hint="eastAsia" w:ascii="仿宋" w:hAnsi="仿宋" w:eastAsia="Malgun Gothic"/>
          <w:sz w:val="32"/>
          <w:szCs w:val="32"/>
          <w:lang w:val="en-US" w:eastAsia="ko-KR"/>
        </w:rPr>
        <w:t>2.57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cs="仿宋"/>
          <w:sz w:val="36"/>
          <w:szCs w:val="36"/>
        </w:rPr>
      </w:pPr>
      <w:r>
        <w:rPr>
          <w:rFonts w:hint="eastAsia" w:ascii="仿宋" w:hAnsi="仿宋" w:eastAsia="仿宋"/>
          <w:sz w:val="32"/>
          <w:szCs w:val="32"/>
        </w:rPr>
        <w:t xml:space="preserve">2026年财政拨款收支总预算 </w:t>
      </w:r>
      <w:r>
        <w:rPr>
          <w:rFonts w:hint="eastAsia" w:ascii="仿宋" w:hAnsi="仿宋" w:eastAsia="Malgun Gothic"/>
          <w:sz w:val="32"/>
          <w:szCs w:val="32"/>
          <w:lang w:val="en-US" w:eastAsia="ko-KR"/>
        </w:rPr>
        <w:t>316.73</w:t>
      </w:r>
      <w:r>
        <w:rPr>
          <w:rFonts w:hint="eastAsia" w:ascii="仿宋" w:hAnsi="仿宋" w:eastAsia="仿宋"/>
          <w:sz w:val="32"/>
          <w:szCs w:val="32"/>
        </w:rPr>
        <w:t xml:space="preserve">万元，其中：本年收入  </w:t>
      </w:r>
      <w:r>
        <w:rPr>
          <w:rFonts w:hint="eastAsia" w:ascii="仿宋" w:hAnsi="仿宋" w:eastAsia="Malgun Gothic"/>
          <w:sz w:val="32"/>
          <w:szCs w:val="32"/>
          <w:lang w:val="en-US" w:eastAsia="ko-KR"/>
        </w:rPr>
        <w:t>316.73</w:t>
      </w:r>
      <w:r>
        <w:rPr>
          <w:rFonts w:hint="eastAsia" w:ascii="仿宋" w:hAnsi="仿宋" w:eastAsia="仿宋"/>
          <w:sz w:val="32"/>
          <w:szCs w:val="32"/>
        </w:rPr>
        <w:t xml:space="preserve"> 万元。本年支出 </w:t>
      </w:r>
      <w:r>
        <w:rPr>
          <w:rFonts w:hint="eastAsia" w:ascii="仿宋" w:hAnsi="仿宋" w:eastAsia="Malgun Gothic"/>
          <w:sz w:val="32"/>
          <w:szCs w:val="32"/>
          <w:lang w:val="en-US" w:eastAsia="ko-KR"/>
        </w:rPr>
        <w:t>316.73</w:t>
      </w:r>
      <w:r>
        <w:rPr>
          <w:rFonts w:hint="eastAsia" w:ascii="仿宋" w:hAnsi="仿宋" w:eastAsia="仿宋"/>
          <w:sz w:val="32"/>
          <w:szCs w:val="32"/>
        </w:rPr>
        <w:t>万元，</w:t>
      </w:r>
      <w:r>
        <w:rPr>
          <w:rFonts w:hint="eastAsia" w:ascii="仿宋" w:hAnsi="仿宋" w:eastAsia="仿宋" w:cs="仿宋"/>
          <w:sz w:val="36"/>
          <w:szCs w:val="36"/>
        </w:rPr>
        <w:t>支出包括：社会保障和就业支出32.52万元、自然资源海洋气象等支出259.36万元、住房保障支出24.86万元。</w:t>
      </w:r>
    </w:p>
    <w:p w14:paraId="113EA7E6">
      <w:pPr>
        <w:pStyle w:val="11"/>
        <w:rPr>
          <w:rFonts w:hint="eastAsia" w:ascii="仿宋" w:hAnsi="仿宋" w:eastAsia="仿宋" w:cs="仿宋"/>
          <w:sz w:val="36"/>
          <w:szCs w:val="36"/>
        </w:rPr>
      </w:pPr>
      <w:r>
        <w:rPr>
          <w:rFonts w:hint="eastAsia" w:ascii="仿宋" w:hAnsi="仿宋" w:eastAsia="仿宋" w:cs="仿宋"/>
          <w:kern w:val="0"/>
          <w:sz w:val="36"/>
          <w:szCs w:val="36"/>
        </w:rPr>
        <w:t xml:space="preserve">    五、2026年一般公共预算支出情况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Malgun Gothic"/>
          <w:sz w:val="32"/>
          <w:szCs w:val="32"/>
          <w:lang w:val="en-US" w:eastAsia="ko-KR"/>
        </w:rPr>
        <w:t>316.73</w:t>
      </w:r>
      <w:r>
        <w:rPr>
          <w:rFonts w:hint="eastAsia" w:ascii="仿宋" w:hAnsi="仿宋" w:eastAsia="仿宋"/>
          <w:sz w:val="32"/>
          <w:szCs w:val="32"/>
        </w:rPr>
        <w:t>万元，其中：基本支出</w:t>
      </w:r>
      <w:r>
        <w:rPr>
          <w:rFonts w:hint="eastAsia" w:ascii="仿宋" w:hAnsi="仿宋" w:eastAsia="Malgun Gothic"/>
          <w:sz w:val="32"/>
          <w:szCs w:val="32"/>
          <w:lang w:val="en-US" w:eastAsia="ko-KR"/>
        </w:rPr>
        <w:t>308.6</w:t>
      </w:r>
      <w:r>
        <w:rPr>
          <w:rFonts w:hint="eastAsia" w:ascii="仿宋" w:hAnsi="仿宋" w:eastAsia="仿宋"/>
          <w:sz w:val="32"/>
          <w:szCs w:val="32"/>
        </w:rPr>
        <w:t>万元，占</w:t>
      </w:r>
      <w:r>
        <w:rPr>
          <w:rFonts w:hint="eastAsia" w:ascii="仿宋" w:hAnsi="仿宋" w:eastAsia="Malgun Gothic"/>
          <w:sz w:val="32"/>
          <w:szCs w:val="32"/>
          <w:lang w:val="en-US" w:eastAsia="ko-KR"/>
        </w:rPr>
        <w:t>97.43</w:t>
      </w:r>
      <w:r>
        <w:rPr>
          <w:rFonts w:hint="eastAsia" w:ascii="仿宋" w:hAnsi="仿宋" w:eastAsia="仿宋"/>
          <w:sz w:val="32"/>
          <w:szCs w:val="32"/>
        </w:rPr>
        <w:t>%；项目支出</w:t>
      </w:r>
      <w:r>
        <w:rPr>
          <w:rFonts w:hint="eastAsia" w:ascii="仿宋" w:hAnsi="仿宋" w:eastAsia="Malgun Gothic"/>
          <w:sz w:val="32"/>
          <w:szCs w:val="32"/>
          <w:lang w:val="en-US" w:eastAsia="ko-KR"/>
        </w:rPr>
        <w:t>8.13</w:t>
      </w:r>
      <w:r>
        <w:rPr>
          <w:rFonts w:hint="eastAsia" w:ascii="仿宋" w:hAnsi="仿宋" w:eastAsia="仿宋"/>
          <w:sz w:val="32"/>
          <w:szCs w:val="32"/>
        </w:rPr>
        <w:t>万元，占</w:t>
      </w:r>
      <w:r>
        <w:rPr>
          <w:rFonts w:hint="eastAsia" w:ascii="仿宋" w:hAnsi="仿宋" w:eastAsia="Malgun Gothic"/>
          <w:sz w:val="32"/>
          <w:szCs w:val="32"/>
          <w:lang w:val="en-US" w:eastAsia="ko-KR"/>
        </w:rPr>
        <w:t>2.57</w:t>
      </w:r>
      <w:r>
        <w:rPr>
          <w:rFonts w:hint="eastAsia" w:ascii="仿宋" w:hAnsi="仿宋" w:eastAsia="仿宋"/>
          <w:sz w:val="32"/>
          <w:szCs w:val="32"/>
        </w:rPr>
        <w:t>%。基本支出中，人员经费</w:t>
      </w:r>
      <w:r>
        <w:rPr>
          <w:rFonts w:hint="eastAsia" w:ascii="仿宋" w:hAnsi="仿宋" w:eastAsia="Malgun Gothic"/>
          <w:sz w:val="32"/>
          <w:szCs w:val="32"/>
          <w:lang w:val="en-US" w:eastAsia="ko-KR"/>
        </w:rPr>
        <w:t>282.63</w:t>
      </w:r>
      <w:r>
        <w:rPr>
          <w:rFonts w:hint="eastAsia" w:ascii="仿宋" w:hAnsi="仿宋" w:eastAsia="仿宋"/>
          <w:sz w:val="32"/>
          <w:szCs w:val="32"/>
        </w:rPr>
        <w:t>万元，占</w:t>
      </w:r>
      <w:r>
        <w:rPr>
          <w:rFonts w:hint="eastAsia" w:ascii="仿宋" w:hAnsi="仿宋" w:eastAsia="Malgun Gothic"/>
          <w:sz w:val="32"/>
          <w:szCs w:val="32"/>
          <w:lang w:val="en-US" w:eastAsia="ko-KR"/>
        </w:rPr>
        <w:t>91.58</w:t>
      </w:r>
      <w:r>
        <w:rPr>
          <w:rFonts w:hint="eastAsia" w:ascii="仿宋" w:hAnsi="仿宋" w:eastAsia="仿宋"/>
          <w:sz w:val="32"/>
          <w:szCs w:val="32"/>
        </w:rPr>
        <w:t>%；公用经费</w:t>
      </w:r>
      <w:r>
        <w:rPr>
          <w:rFonts w:hint="eastAsia" w:ascii="仿宋" w:hAnsi="仿宋" w:eastAsia="Malgun Gothic"/>
          <w:sz w:val="32"/>
          <w:szCs w:val="32"/>
          <w:lang w:val="en-US" w:eastAsia="ko-KR"/>
        </w:rPr>
        <w:t>25.97</w:t>
      </w:r>
      <w:r>
        <w:rPr>
          <w:rFonts w:hint="eastAsia" w:ascii="仿宋" w:hAnsi="仿宋" w:eastAsia="仿宋"/>
          <w:sz w:val="32"/>
          <w:szCs w:val="32"/>
        </w:rPr>
        <w:t>万元，占</w:t>
      </w:r>
      <w:r>
        <w:rPr>
          <w:rFonts w:hint="eastAsia" w:ascii="仿宋" w:hAnsi="仿宋" w:eastAsia="Malgun Gothic"/>
          <w:sz w:val="32"/>
          <w:szCs w:val="32"/>
          <w:lang w:val="en-US" w:eastAsia="ko-KR"/>
        </w:rPr>
        <w:t>8.42</w:t>
      </w:r>
      <w:r>
        <w:rPr>
          <w:rFonts w:hint="eastAsia" w:ascii="仿宋" w:hAnsi="仿宋" w:eastAsia="仿宋"/>
          <w:sz w:val="32"/>
          <w:szCs w:val="32"/>
        </w:rPr>
        <w:t>%。</w:t>
      </w:r>
    </w:p>
    <w:p w14:paraId="55FEE9D0">
      <w:pPr>
        <w:ind w:firstLine="640" w:firstLineChars="200"/>
        <w:rPr>
          <w:rFonts w:hint="eastAsia" w:ascii="仿宋" w:hAnsi="仿宋" w:eastAsia="仿宋" w:cs="仿宋"/>
          <w:sz w:val="32"/>
          <w:szCs w:val="32"/>
        </w:rPr>
      </w:pPr>
      <w:r>
        <w:rPr>
          <w:rFonts w:hint="eastAsia" w:ascii="仿宋" w:hAnsi="仿宋" w:eastAsia="仿宋" w:cs="仿宋"/>
          <w:sz w:val="32"/>
          <w:szCs w:val="32"/>
        </w:rPr>
        <w:t>- 社会保障和就业（类）支出32.52万元，占10.27%，主要用于：机关事业单位基本养老保险缴费支出，保障在编人员养老保险费用缴纳。</w:t>
      </w:r>
      <w:r>
        <w:rPr>
          <w:rFonts w:hint="eastAsia" w:ascii="仿宋" w:hAnsi="仿宋" w:eastAsia="仿宋" w:cs="仿宋"/>
          <w:sz w:val="32"/>
          <w:szCs w:val="32"/>
        </w:rPr>
        <w:br w:type="textWrapping"/>
      </w:r>
      <w:r>
        <w:rPr>
          <w:rFonts w:hint="eastAsia" w:ascii="仿宋" w:hAnsi="仿宋" w:eastAsia="仿宋" w:cs="仿宋"/>
          <w:sz w:val="32"/>
          <w:szCs w:val="32"/>
        </w:rPr>
        <w:t>- 自然资源海洋气象等（类）支出259.36万元，占81.89%，主要用于：单位日常运转、人员工资福利及编外人员专项支出，支撑不动产登记政务服务开展。</w:t>
      </w:r>
      <w:r>
        <w:rPr>
          <w:rFonts w:hint="eastAsia" w:ascii="仿宋" w:hAnsi="仿宋" w:eastAsia="仿宋" w:cs="仿宋"/>
          <w:sz w:val="32"/>
          <w:szCs w:val="32"/>
        </w:rPr>
        <w:br w:type="textWrapping"/>
      </w:r>
      <w:r>
        <w:rPr>
          <w:rFonts w:hint="eastAsia" w:ascii="仿宋" w:hAnsi="仿宋" w:eastAsia="仿宋" w:cs="仿宋"/>
          <w:sz w:val="32"/>
          <w:szCs w:val="32"/>
        </w:rPr>
        <w:t>- 住房保障（类）支出24.86万元，占7.85%，主要用于：住房公积金支出，为在编人员缴纳住房公积金。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Malgun Gothic"/>
          <w:sz w:val="32"/>
          <w:szCs w:val="32"/>
          <w:lang w:val="en-US" w:eastAsia="ko-KR"/>
        </w:rPr>
        <w:t>308.6</w:t>
      </w:r>
      <w:r>
        <w:rPr>
          <w:rFonts w:hint="eastAsia" w:ascii="仿宋" w:hAnsi="仿宋" w:eastAsia="仿宋"/>
          <w:sz w:val="32"/>
          <w:szCs w:val="32"/>
        </w:rPr>
        <w:t>万元，其中：</w:t>
      </w:r>
    </w:p>
    <w:p w14:paraId="03F48596">
      <w:pPr>
        <w:ind w:firstLine="640" w:firstLineChars="200"/>
        <w:rPr>
          <w:rFonts w:hint="eastAsia" w:ascii="仿宋" w:hAnsi="仿宋" w:eastAsia="仿宋" w:cs="仿宋"/>
          <w:sz w:val="32"/>
          <w:szCs w:val="32"/>
        </w:rPr>
      </w:pPr>
      <w:r>
        <w:rPr>
          <w:rFonts w:hint="eastAsia" w:ascii="仿宋" w:hAnsi="仿宋" w:eastAsia="仿宋"/>
          <w:sz w:val="32"/>
          <w:szCs w:val="32"/>
        </w:rPr>
        <w:t>人员经费</w:t>
      </w:r>
      <w:r>
        <w:rPr>
          <w:rFonts w:hint="eastAsia" w:ascii="仿宋" w:hAnsi="仿宋" w:eastAsia="Malgun Gothic"/>
          <w:sz w:val="32"/>
          <w:szCs w:val="32"/>
          <w:lang w:val="en-US" w:eastAsia="ko-KR"/>
        </w:rPr>
        <w:t>282.63</w:t>
      </w:r>
      <w:r>
        <w:rPr>
          <w:rFonts w:hint="eastAsia" w:ascii="仿宋" w:hAnsi="仿宋" w:eastAsia="仿宋"/>
          <w:sz w:val="32"/>
          <w:szCs w:val="32"/>
        </w:rPr>
        <w:t>万元，</w:t>
      </w:r>
      <w:r>
        <w:rPr>
          <w:rFonts w:hint="eastAsia" w:ascii="仿宋" w:hAnsi="仿宋" w:eastAsia="仿宋" w:cs="仿宋"/>
          <w:sz w:val="32"/>
          <w:szCs w:val="32"/>
        </w:rPr>
        <w:t>主要包括：基本工资123.84万元、津贴补贴4.93万元、奖金10.32万元、绩效工资69.07万元、机关事业单位基本养老保险缴费32.52万元、职工基本医疗保险缴费15.04万元、其他社会保障缴费2.07万元、住房公积金24.86万元。</w:t>
      </w:r>
    </w:p>
    <w:p w14:paraId="5C92AD13">
      <w:pPr>
        <w:pStyle w:val="9"/>
        <w:ind w:firstLine="627" w:firstLineChars="196"/>
        <w:rPr>
          <w:rFonts w:hint="eastAsia" w:ascii="仿宋" w:hAnsi="仿宋" w:eastAsia="仿宋" w:cs="仿宋"/>
          <w:kern w:val="0"/>
          <w:sz w:val="32"/>
          <w:szCs w:val="32"/>
        </w:rPr>
      </w:pPr>
      <w:r>
        <w:rPr>
          <w:rFonts w:hint="eastAsia" w:ascii="仿宋" w:hAnsi="仿宋" w:eastAsia="仿宋"/>
          <w:sz w:val="32"/>
          <w:szCs w:val="32"/>
        </w:rPr>
        <w:t>公用经费</w:t>
      </w:r>
      <w:r>
        <w:rPr>
          <w:rFonts w:hint="eastAsia" w:ascii="仿宋" w:hAnsi="仿宋" w:eastAsia="Malgun Gothic"/>
          <w:sz w:val="32"/>
          <w:szCs w:val="32"/>
          <w:lang w:val="en-US" w:eastAsia="ko-KR"/>
        </w:rPr>
        <w:t>25.97</w:t>
      </w:r>
      <w:r>
        <w:rPr>
          <w:rFonts w:hint="eastAsia" w:ascii="仿宋" w:hAnsi="仿宋" w:eastAsia="仿宋"/>
          <w:sz w:val="32"/>
          <w:szCs w:val="32"/>
        </w:rPr>
        <w:t>万元，主要包括：</w:t>
      </w:r>
      <w:r>
        <w:rPr>
          <w:rFonts w:hint="eastAsia" w:ascii="仿宋" w:hAnsi="仿宋" w:eastAsia="仿宋" w:cs="仿宋"/>
          <w:sz w:val="32"/>
          <w:szCs w:val="32"/>
        </w:rPr>
        <w:t>主要包括：办公费4.88万元、印刷费0.60万元、邮电费0.35万元、差旅费1.00万元、租赁费7.75万元、专用材料费4.00万元、工会经费4.14万元、其他商品和服务支出3.25万元。</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Malgun Gothic"/>
          <w:kern w:val="0"/>
          <w:sz w:val="32"/>
          <w:szCs w:val="32"/>
          <w:lang w:val="en-US" w:eastAsia="ko-KR"/>
        </w:rPr>
        <w:t>0</w:t>
      </w:r>
      <w:r>
        <w:rPr>
          <w:rFonts w:hint="eastAsia" w:ascii="仿宋" w:hAnsi="仿宋" w:eastAsia="仿宋"/>
          <w:kern w:val="0"/>
          <w:sz w:val="32"/>
          <w:szCs w:val="32"/>
        </w:rPr>
        <w:t xml:space="preserve"> 万元，比2025年预算</w:t>
      </w:r>
      <w:r>
        <w:rPr>
          <w:rFonts w:hint="eastAsia" w:ascii="仿宋" w:hAnsi="仿宋" w:eastAsia="仿宋"/>
          <w:kern w:val="0"/>
          <w:sz w:val="32"/>
          <w:szCs w:val="32"/>
          <w:lang w:eastAsia="zh-CN"/>
        </w:rPr>
        <w:t>持平</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36644BB9">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2025年预算数相同。</w:t>
      </w:r>
    </w:p>
    <w:p w14:paraId="675664C9">
      <w:pPr>
        <w:pStyle w:val="9"/>
        <w:ind w:firstLine="640" w:firstLineChars="200"/>
        <w:rPr>
          <w:rFonts w:hint="eastAsia" w:ascii="仿宋" w:hAnsi="仿宋" w:eastAsia="仿宋"/>
          <w:sz w:val="32"/>
          <w:szCs w:val="32"/>
          <w:lang w:eastAsia="zh-CN"/>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2025年预算数相同。</w:t>
      </w:r>
      <w:r>
        <w:rPr>
          <w:rFonts w:hint="eastAsia" w:ascii="仿宋" w:hAnsi="仿宋" w:eastAsia="仿宋"/>
          <w:sz w:val="32"/>
          <w:szCs w:val="32"/>
        </w:rPr>
        <w:t xml:space="preserve"> </w:t>
      </w:r>
      <w:r>
        <w:rPr>
          <w:rFonts w:hint="eastAsia" w:ascii="仿宋" w:hAnsi="仿宋" w:eastAsia="仿宋"/>
          <w:sz w:val="32"/>
          <w:szCs w:val="32"/>
          <w:lang w:eastAsia="zh-CN"/>
        </w:rPr>
        <w:t>本单位无公务用车，未安排相关预算。</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rPr>
        <w:t>2026年本单位</w:t>
      </w:r>
      <w:r>
        <w:rPr>
          <w:rFonts w:hint="eastAsia" w:ascii="仿宋" w:hAnsi="仿宋" w:eastAsia="仿宋"/>
          <w:sz w:val="32"/>
          <w:szCs w:val="32"/>
          <w:lang w:eastAsia="zh-CN"/>
        </w:rPr>
        <w:t>无机关运行经费安排。</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xx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 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hint="eastAsia" w:ascii="仿宋" w:hAnsi="仿宋" w:eastAsia="仿宋" w:cs="仿宋"/>
          <w:sz w:val="32"/>
          <w:szCs w:val="32"/>
        </w:rPr>
      </w:pPr>
      <w:r>
        <w:rPr>
          <w:rFonts w:hint="eastAsia" w:ascii="仿宋" w:hAnsi="仿宋" w:eastAsia="仿宋"/>
          <w:sz w:val="32"/>
          <w:szCs w:val="32"/>
        </w:rPr>
        <w:t xml:space="preserve">   </w:t>
      </w:r>
      <w:r>
        <w:rPr>
          <w:rFonts w:hint="eastAsia" w:ascii="仿宋" w:hAnsi="仿宋" w:eastAsia="仿宋" w:cs="仿宋"/>
          <w:sz w:val="32"/>
          <w:szCs w:val="32"/>
        </w:rPr>
        <w:t>按照全面实施预算绩效管理的要求，结合本部门职能和重点工作，2026年将1个项目支出的绩效目标和指标向社会公开，涉及金额8.13万元（编外人员支出项目），主要用于保障编外人员薪酬发放，支撑不动产登记辅助工作高效开展。</w:t>
      </w:r>
    </w:p>
    <w:p w14:paraId="3C527A83">
      <w:pPr>
        <w:jc w:val="center"/>
        <w:rPr>
          <w:rFonts w:hint="eastAsia" w:ascii="仿宋" w:hAnsi="仿宋" w:eastAsia="仿宋" w:cs="仿宋"/>
          <w:sz w:val="32"/>
          <w:szCs w:val="32"/>
        </w:rPr>
      </w:pPr>
      <w:bookmarkStart w:id="0" w:name="_GoBack"/>
      <w:bookmarkEnd w:id="0"/>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5674C7"/>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6D2EFB"/>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3065</Words>
  <Characters>3294</Characters>
  <Lines>21</Lines>
  <Paragraphs>6</Paragraphs>
  <TotalTime>12</TotalTime>
  <ScaleCrop>false</ScaleCrop>
  <LinksUpToDate>false</LinksUpToDate>
  <CharactersWithSpaces>3454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许我向你看</cp:lastModifiedBy>
  <dcterms:modified xsi:type="dcterms:W3CDTF">2026-03-23T03:41:41Z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2FC7B24D1DAE4E3C904EB9D35C9A2C53_13</vt:lpwstr>
  </property>
  <property fmtid="{D5CDD505-2E9C-101B-9397-08002B2CF9AE}" pid="4" name="KSOTemplateDocerSaveRecord">
    <vt:lpwstr>eyJoZGlkIjoiZDQ1NzMyZDBkZjM0YjA5YTc5N2JmZmQ3NTljMzc0YjYiLCJ1c2VySWQiOiIzNDI2ODU2NzMifQ==</vt:lpwstr>
  </property>
</Properties>
</file>